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A87F" w14:textId="3494F8C5" w:rsidR="0059311C" w:rsidRPr="001A1EC4" w:rsidRDefault="007F2372" w:rsidP="007516A6">
      <w:pPr>
        <w:spacing w:line="240" w:lineRule="auto"/>
        <w:ind w:left="360" w:firstLine="0"/>
        <w:rPr>
          <w:rFonts w:asciiTheme="minorHAnsi" w:hAnsiTheme="minorHAnsi" w:cstheme="minorHAnsi"/>
          <w:sz w:val="18"/>
          <w:szCs w:val="18"/>
          <w:lang w:val="es-PR"/>
        </w:rPr>
      </w:pPr>
      <w:r w:rsidRPr="001A1EC4">
        <w:rPr>
          <w:rFonts w:asciiTheme="minorHAnsi" w:hAnsiTheme="minorHAnsi" w:cstheme="minorHAnsi"/>
          <w:b/>
          <w:sz w:val="18"/>
          <w:szCs w:val="18"/>
          <w:lang w:val="es-PR"/>
        </w:rPr>
        <w:t>Cuentas No Reclamadas</w:t>
      </w:r>
      <w:r w:rsidRPr="001A1EC4">
        <w:rPr>
          <w:rFonts w:asciiTheme="minorHAnsi" w:hAnsiTheme="minorHAnsi" w:cstheme="minorHAnsi"/>
          <w:sz w:val="18"/>
          <w:szCs w:val="18"/>
          <w:lang w:val="es-PR"/>
        </w:rPr>
        <w:t xml:space="preserve"> </w:t>
      </w:r>
      <w:r w:rsidR="009140BF" w:rsidRPr="001A1EC4">
        <w:rPr>
          <w:rFonts w:asciiTheme="minorHAnsi" w:hAnsiTheme="minorHAnsi" w:cstheme="minorHAnsi"/>
          <w:sz w:val="18"/>
          <w:szCs w:val="18"/>
          <w:lang w:val="es-PR"/>
        </w:rPr>
        <w:t>- Artículo</w:t>
      </w:r>
      <w:r w:rsidRPr="001A1EC4">
        <w:rPr>
          <w:rFonts w:asciiTheme="minorHAnsi" w:hAnsiTheme="minorHAnsi" w:cstheme="minorHAnsi"/>
          <w:sz w:val="18"/>
          <w:szCs w:val="18"/>
          <w:lang w:val="es-PR"/>
        </w:rPr>
        <w:t xml:space="preserve"> 6.09 de la Ley 255 de 28 de octubre de 2002, enmendada</w:t>
      </w:r>
      <w:r w:rsidR="003A2B4B" w:rsidRPr="001A1EC4">
        <w:rPr>
          <w:rFonts w:asciiTheme="minorHAnsi" w:hAnsiTheme="minorHAnsi" w:cstheme="minorHAnsi"/>
          <w:sz w:val="18"/>
          <w:szCs w:val="18"/>
          <w:lang w:val="es-PR"/>
        </w:rPr>
        <w:t xml:space="preserve"> mediante la Ley 81</w:t>
      </w:r>
      <w:r w:rsidRPr="001A1EC4">
        <w:rPr>
          <w:rFonts w:asciiTheme="minorHAnsi" w:hAnsiTheme="minorHAnsi" w:cstheme="minorHAnsi"/>
          <w:sz w:val="18"/>
          <w:szCs w:val="18"/>
          <w:lang w:val="es-PR"/>
        </w:rPr>
        <w:t xml:space="preserve"> </w:t>
      </w:r>
      <w:r w:rsidR="003A2B4B" w:rsidRPr="001A1EC4">
        <w:rPr>
          <w:rFonts w:asciiTheme="minorHAnsi" w:hAnsiTheme="minorHAnsi" w:cstheme="minorHAnsi"/>
          <w:sz w:val="18"/>
          <w:szCs w:val="18"/>
          <w:lang w:val="es-PR"/>
        </w:rPr>
        <w:t>d</w:t>
      </w:r>
      <w:r w:rsidRPr="001A1EC4">
        <w:rPr>
          <w:rFonts w:asciiTheme="minorHAnsi" w:hAnsiTheme="minorHAnsi" w:cstheme="minorHAnsi"/>
          <w:sz w:val="18"/>
          <w:szCs w:val="18"/>
          <w:lang w:val="es-PR"/>
        </w:rPr>
        <w:t xml:space="preserve">el 2 de </w:t>
      </w:r>
      <w:r w:rsidR="007516A6" w:rsidRPr="001A1EC4">
        <w:rPr>
          <w:rFonts w:asciiTheme="minorHAnsi" w:hAnsiTheme="minorHAnsi" w:cstheme="minorHAnsi"/>
          <w:sz w:val="18"/>
          <w:szCs w:val="18"/>
          <w:lang w:val="es-PR"/>
        </w:rPr>
        <w:t>junio de 2008.</w:t>
      </w:r>
    </w:p>
    <w:p w14:paraId="496F3754" w14:textId="77777777" w:rsidR="007516A6" w:rsidRPr="001A1EC4" w:rsidRDefault="007516A6" w:rsidP="007516A6">
      <w:pPr>
        <w:spacing w:after="0" w:line="240" w:lineRule="auto"/>
        <w:ind w:left="360" w:firstLine="360"/>
        <w:rPr>
          <w:rFonts w:asciiTheme="minorHAnsi" w:hAnsiTheme="minorHAnsi" w:cstheme="minorHAnsi"/>
          <w:sz w:val="18"/>
          <w:szCs w:val="18"/>
          <w:lang w:val="es-PR"/>
        </w:rPr>
      </w:pPr>
    </w:p>
    <w:p w14:paraId="0A4B99E6" w14:textId="0C4B4941" w:rsidR="0059311C" w:rsidRPr="001A1EC4" w:rsidRDefault="007F2372" w:rsidP="007516A6">
      <w:pPr>
        <w:spacing w:after="0" w:line="240" w:lineRule="auto"/>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Las cantidades de dinero y otros bienes líquidos en poder de una cooperativa que no hayan sido reclamados o que no hayan sido objeto de transacción alguna durante cinco (5) años consecutivos, exceptuando aquellas cantidades provenientes de cuentas de acciones, pasarán a una reserva de capital social de la cooperativa o a su partida de capital indivisible, a opción de la cooperativa, luego de haberse cumplido el requisito de notificación a la Corporación aquí dispuesto. A los fines de este Artículo, la imposición de cargos por servicio ni el pago de intereses o dividendos se considerarán como una transacción o actividad en la cuenta. El término de cinco (5) años se contará a partir de la fecha de la última transacción, cuando se traten de instrumentos que no tenga término de vencimiento, y en aquellos instrumentos que tenga fecha de vencimiento, el término de cinco (5) años comenzará a cursar desde la fecha de su vencimiento.  </w:t>
      </w:r>
    </w:p>
    <w:p w14:paraId="115BC474" w14:textId="77777777" w:rsidR="0059311C" w:rsidRPr="001A1EC4" w:rsidRDefault="007F2372" w:rsidP="007516A6">
      <w:pPr>
        <w:spacing w:after="0" w:line="240" w:lineRule="auto"/>
        <w:ind w:left="360" w:hanging="72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  </w:t>
      </w:r>
    </w:p>
    <w:p w14:paraId="0BD6A2B5" w14:textId="5B22B771" w:rsidR="0059311C" w:rsidRPr="001A1EC4" w:rsidRDefault="007F2372" w:rsidP="007516A6">
      <w:pPr>
        <w:spacing w:line="240" w:lineRule="auto"/>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En o antes de los sesenta (60) días luego del cierre del año fiscal la </w:t>
      </w:r>
      <w:r w:rsidR="003A2B4B" w:rsidRPr="001A1EC4">
        <w:rPr>
          <w:rFonts w:asciiTheme="minorHAnsi" w:hAnsiTheme="minorHAnsi" w:cstheme="minorHAnsi"/>
          <w:sz w:val="18"/>
          <w:szCs w:val="18"/>
          <w:lang w:val="es-PR"/>
        </w:rPr>
        <w:t>cooperativa, tendrá</w:t>
      </w:r>
      <w:r w:rsidRPr="001A1EC4">
        <w:rPr>
          <w:rFonts w:asciiTheme="minorHAnsi" w:hAnsiTheme="minorHAnsi" w:cstheme="minorHAnsi"/>
          <w:sz w:val="18"/>
          <w:szCs w:val="18"/>
          <w:lang w:val="es-PR"/>
        </w:rPr>
        <w:t xml:space="preserve"> la obligación de notificar a los dueños de cuentas inactivas que las mismas serán objeto de transferencia. Esto se hará mediante la publicación de un listado en </w:t>
      </w:r>
      <w:r w:rsidR="003A2B4B" w:rsidRPr="001A1EC4">
        <w:rPr>
          <w:rFonts w:asciiTheme="minorHAnsi" w:hAnsiTheme="minorHAnsi" w:cstheme="minorHAnsi"/>
          <w:sz w:val="18"/>
          <w:szCs w:val="18"/>
          <w:lang w:val="es-PR"/>
        </w:rPr>
        <w:t>un lugar</w:t>
      </w:r>
      <w:r w:rsidRPr="001A1EC4">
        <w:rPr>
          <w:rFonts w:asciiTheme="minorHAnsi" w:hAnsiTheme="minorHAnsi" w:cstheme="minorHAnsi"/>
          <w:sz w:val="18"/>
          <w:szCs w:val="18"/>
          <w:lang w:val="es-PR"/>
        </w:rPr>
        <w:t xml:space="preserve"> visible en las sucursales y oficinas de servicio de la cooperativa por un término de noventa (90) días consecutivos. Simultáneamente, se publicará un aviso en un periódico de circulación general en Puerto Rico, el cual será titulado “Aviso de Dinero y Otros Bienes Líquidos No Reclamados en Poder de la Cooperativa de Ahorro y Crédito </w:t>
      </w:r>
      <w:r w:rsidR="007516A6" w:rsidRPr="001A1EC4">
        <w:rPr>
          <w:rFonts w:asciiTheme="minorHAnsi" w:hAnsiTheme="minorHAnsi" w:cstheme="minorHAnsi"/>
          <w:sz w:val="18"/>
          <w:szCs w:val="18"/>
          <w:lang w:val="es-PR"/>
        </w:rPr>
        <w:t>Intermetro.</w:t>
      </w:r>
      <w:r w:rsidRPr="001A1EC4">
        <w:rPr>
          <w:rFonts w:asciiTheme="minorHAnsi" w:hAnsiTheme="minorHAnsi" w:cstheme="minorHAnsi"/>
          <w:sz w:val="18"/>
          <w:szCs w:val="18"/>
          <w:lang w:val="es-PR"/>
        </w:rPr>
        <w:t xml:space="preserve"> Los gastos incurridos por la cooperativa en relación con la publicación del aviso serán deducidos proporcionalmente del balance de cada cuenta no reclamada.  </w:t>
      </w:r>
    </w:p>
    <w:p w14:paraId="442CB7B8" w14:textId="77777777" w:rsidR="0059311C" w:rsidRPr="001A1EC4" w:rsidRDefault="007F2372" w:rsidP="007516A6">
      <w:pPr>
        <w:spacing w:after="0" w:line="240" w:lineRule="auto"/>
        <w:ind w:left="360" w:hanging="72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  </w:t>
      </w:r>
    </w:p>
    <w:p w14:paraId="0D5407E5" w14:textId="131762D4" w:rsidR="0059311C" w:rsidRPr="001A1EC4" w:rsidRDefault="007F2372" w:rsidP="007516A6">
      <w:pPr>
        <w:spacing w:line="240" w:lineRule="auto"/>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Tal aviso expondrá, en orden alfabético, los nombres de las personas que de acuerdo con los registros de la cooperativa tengan derecho a reclamar cualesquiera cantidades de dinero y otros bienes líquidos en poder de la cooperativa, que no hayan sido reclamados a la cooperativa o que no hayan sido objeto de transacción alguna durante el referido período de cinco (5) años, la última dirección conocida de cada una de dichas personas, y las respectivas cantidades a que tengan derecho. </w:t>
      </w:r>
    </w:p>
    <w:p w14:paraId="6BBF9224" w14:textId="77777777" w:rsidR="0059311C" w:rsidRPr="001A1EC4" w:rsidRDefault="007F2372" w:rsidP="007516A6">
      <w:pPr>
        <w:spacing w:after="0" w:line="240" w:lineRule="auto"/>
        <w:ind w:left="360" w:hanging="72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  </w:t>
      </w:r>
    </w:p>
    <w:p w14:paraId="1E685BF7" w14:textId="05AFF2B5" w:rsidR="0059311C" w:rsidRPr="001A1EC4" w:rsidRDefault="007F2372" w:rsidP="007516A6">
      <w:pPr>
        <w:spacing w:line="240" w:lineRule="auto"/>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Durante dicho período de noventa (90) días, el listado estará disponible para la revisión de todo socio y del público en general. Toda persona que, durante el período de noventa (90) días antes mencionado, presente evidencia fehaciente de titularidad de una o más cuentas identificadas en la lista tendrá derecho a que las mismas sean retiradas de la misma y no sean objeto de transferencia a las reservas de capital.  </w:t>
      </w:r>
    </w:p>
    <w:p w14:paraId="249CD39F" w14:textId="77777777" w:rsidR="0059311C" w:rsidRPr="001A1EC4" w:rsidRDefault="007F2372" w:rsidP="007516A6">
      <w:pPr>
        <w:spacing w:after="0" w:line="240" w:lineRule="auto"/>
        <w:ind w:left="360" w:hanging="72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  </w:t>
      </w:r>
    </w:p>
    <w:p w14:paraId="2F6F39C7" w14:textId="77777777" w:rsidR="0059311C" w:rsidRPr="001A1EC4" w:rsidRDefault="007F2372" w:rsidP="007516A6">
      <w:pPr>
        <w:spacing w:line="240" w:lineRule="auto"/>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Dentro del término de treinta (30) días luego de transcurrido el primer período de noventa (90) días aquí dispuesto, la cooperativa someterá a COSSEC copia del aviso publicado en la cooperativa y copia del aviso publicado en el periódico de circulación general. Esta radicación constituirá la notificación requerida a la COSSEC para los fines de esta Ley.  </w:t>
      </w:r>
    </w:p>
    <w:p w14:paraId="590857EA" w14:textId="77777777" w:rsidR="0059311C" w:rsidRPr="001A1EC4" w:rsidRDefault="007F2372" w:rsidP="007516A6">
      <w:pPr>
        <w:spacing w:after="0" w:line="240" w:lineRule="auto"/>
        <w:ind w:left="360" w:hanging="72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  </w:t>
      </w:r>
    </w:p>
    <w:p w14:paraId="13A80A05" w14:textId="49FEB7C2" w:rsidR="0059311C" w:rsidRPr="001A1EC4" w:rsidRDefault="007F2372" w:rsidP="007516A6">
      <w:pPr>
        <w:spacing w:line="240" w:lineRule="auto"/>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Luego de efectuada la notificación a COSSEC, la Cooperativa podrá efectuar la transferencia de los bienes no reclamados a su capital social y/o a su partida de capital indivisible.  </w:t>
      </w:r>
    </w:p>
    <w:p w14:paraId="30952853" w14:textId="77777777" w:rsidR="0059311C" w:rsidRPr="001A1EC4" w:rsidRDefault="007F2372" w:rsidP="007516A6">
      <w:pPr>
        <w:spacing w:after="0" w:line="240" w:lineRule="auto"/>
        <w:ind w:left="360" w:hanging="72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  </w:t>
      </w:r>
    </w:p>
    <w:p w14:paraId="0DB2DCCB" w14:textId="77777777" w:rsidR="009E236F" w:rsidRDefault="007F2372" w:rsidP="007516A6">
      <w:pPr>
        <w:spacing w:line="240" w:lineRule="auto"/>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Luego de efectuada la transferencia de una cuenta u otros bienes líquidos a las reservas de capital, sólo se admitirán reclamaciones presentadas no más tarde de cinco (5) años a partir de la transferencia. En dichos casos la cooperativa podrá imponer cargos administrativos correspondientes a los trámites de investigación y análisis de la reclamación. </w:t>
      </w:r>
    </w:p>
    <w:p w14:paraId="526DD8CB" w14:textId="77777777" w:rsidR="009E236F" w:rsidRDefault="009E236F" w:rsidP="007516A6">
      <w:pPr>
        <w:spacing w:line="240" w:lineRule="auto"/>
        <w:ind w:left="360" w:firstLine="0"/>
        <w:rPr>
          <w:rFonts w:asciiTheme="minorHAnsi" w:hAnsiTheme="minorHAnsi" w:cstheme="minorHAnsi"/>
          <w:sz w:val="18"/>
          <w:szCs w:val="18"/>
          <w:lang w:val="es-PR"/>
        </w:rPr>
      </w:pPr>
    </w:p>
    <w:p w14:paraId="4F6CB3FD" w14:textId="21CD0CB9" w:rsidR="0059311C" w:rsidRPr="001A1EC4" w:rsidRDefault="007F2372" w:rsidP="007516A6">
      <w:pPr>
        <w:spacing w:line="240" w:lineRule="auto"/>
        <w:ind w:left="360" w:firstLine="0"/>
        <w:rPr>
          <w:rFonts w:asciiTheme="minorHAnsi" w:hAnsiTheme="minorHAnsi" w:cstheme="minorHAnsi"/>
          <w:color w:val="0070C0"/>
          <w:sz w:val="18"/>
          <w:szCs w:val="18"/>
          <w:lang w:val="es-PR"/>
        </w:rPr>
      </w:pPr>
      <w:r w:rsidRPr="001A1EC4">
        <w:rPr>
          <w:rFonts w:asciiTheme="minorHAnsi" w:hAnsiTheme="minorHAnsi" w:cstheme="minorHAnsi"/>
          <w:sz w:val="18"/>
          <w:szCs w:val="18"/>
          <w:lang w:val="es-PR"/>
        </w:rPr>
        <w:t>La Cooperativa impondrá un Cargo administrativo sobre</w:t>
      </w:r>
      <w:r w:rsidR="006B0B82" w:rsidRPr="001A1EC4">
        <w:rPr>
          <w:rFonts w:asciiTheme="minorHAnsi" w:hAnsiTheme="minorHAnsi" w:cstheme="minorHAnsi"/>
          <w:sz w:val="18"/>
          <w:szCs w:val="18"/>
          <w:lang w:val="es-PR"/>
        </w:rPr>
        <w:t xml:space="preserve"> la cantidad no reclamada de </w:t>
      </w:r>
      <w:r w:rsidR="007516A6" w:rsidRPr="001A1EC4">
        <w:rPr>
          <w:rFonts w:asciiTheme="minorHAnsi" w:hAnsiTheme="minorHAnsi" w:cstheme="minorHAnsi"/>
          <w:sz w:val="18"/>
          <w:szCs w:val="18"/>
          <w:lang w:val="es-PR"/>
        </w:rPr>
        <w:t xml:space="preserve">25% </w:t>
      </w:r>
      <w:r w:rsidR="001A1EC4" w:rsidRPr="001A1EC4">
        <w:rPr>
          <w:rFonts w:asciiTheme="minorHAnsi" w:hAnsiTheme="minorHAnsi" w:cstheme="minorHAnsi"/>
          <w:sz w:val="18"/>
          <w:szCs w:val="18"/>
          <w:lang w:val="es-PR"/>
        </w:rPr>
        <w:t>de la cantidad de la cuenta.</w:t>
      </w:r>
      <w:r w:rsidRPr="001A1EC4">
        <w:rPr>
          <w:rFonts w:asciiTheme="minorHAnsi" w:hAnsiTheme="minorHAnsi" w:cstheme="minorHAnsi"/>
          <w:color w:val="0070C0"/>
          <w:sz w:val="18"/>
          <w:szCs w:val="18"/>
          <w:lang w:val="es-PR"/>
        </w:rPr>
        <w:t xml:space="preserve">  </w:t>
      </w:r>
    </w:p>
    <w:p w14:paraId="1841D192" w14:textId="77777777" w:rsidR="0059311C" w:rsidRPr="001A1EC4" w:rsidRDefault="007F2372" w:rsidP="007516A6">
      <w:pPr>
        <w:spacing w:after="0" w:line="240" w:lineRule="auto"/>
        <w:ind w:left="360" w:hanging="720"/>
        <w:rPr>
          <w:rFonts w:asciiTheme="minorHAnsi" w:hAnsiTheme="minorHAnsi" w:cstheme="minorHAnsi"/>
          <w:color w:val="0070C0"/>
          <w:sz w:val="18"/>
          <w:szCs w:val="18"/>
          <w:lang w:val="es-PR"/>
        </w:rPr>
      </w:pPr>
      <w:r w:rsidRPr="001A1EC4">
        <w:rPr>
          <w:rFonts w:asciiTheme="minorHAnsi" w:hAnsiTheme="minorHAnsi" w:cstheme="minorHAnsi"/>
          <w:color w:val="0070C0"/>
          <w:sz w:val="18"/>
          <w:szCs w:val="18"/>
          <w:lang w:val="es-PR"/>
        </w:rPr>
        <w:t xml:space="preserve">  </w:t>
      </w:r>
    </w:p>
    <w:p w14:paraId="30118DA8" w14:textId="77777777" w:rsidR="0059311C" w:rsidRPr="001A1EC4" w:rsidRDefault="007F2372" w:rsidP="007516A6">
      <w:pPr>
        <w:spacing w:line="240" w:lineRule="auto"/>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Toda cooperativa deberá incluir como parte de los documentos de apertura de cuenta, una hoja informativa a los socios que contenga una trascripción de este Artículo.  Además, mantendrá en el expediente del socio evidencia de recibo de dicha hoja informativa.  </w:t>
      </w:r>
    </w:p>
    <w:p w14:paraId="2C7421AD" w14:textId="77777777" w:rsidR="0059311C" w:rsidRPr="001A1EC4" w:rsidRDefault="007F2372" w:rsidP="007516A6">
      <w:pPr>
        <w:spacing w:after="0" w:line="259" w:lineRule="auto"/>
        <w:ind w:left="360" w:hanging="72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  </w:t>
      </w:r>
    </w:p>
    <w:p w14:paraId="7E3CB3CC" w14:textId="43290866" w:rsidR="0059311C" w:rsidRPr="001A1EC4" w:rsidRDefault="007F2372" w:rsidP="007516A6">
      <w:pPr>
        <w:ind w:left="360" w:firstLine="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De conformidad con estas disposiciones, las cooperativas, sus cuentas de acciones y depósitos y sus reservas estarán exentas de las disposiciones de la Ley Núm. 36 de 28 de julio de 1989, según enmendada, conocida como “Ley de Dinero y Otros Bienes Líquidos Abandonados o No Reclamados”.  </w:t>
      </w:r>
    </w:p>
    <w:p w14:paraId="18340DE5" w14:textId="77777777" w:rsidR="001A1EC4" w:rsidRPr="001A1EC4" w:rsidRDefault="001A1EC4" w:rsidP="007516A6">
      <w:pPr>
        <w:ind w:left="360" w:firstLine="0"/>
        <w:rPr>
          <w:rFonts w:asciiTheme="minorHAnsi" w:hAnsiTheme="minorHAnsi" w:cstheme="minorHAnsi"/>
          <w:sz w:val="18"/>
          <w:szCs w:val="18"/>
          <w:lang w:val="es-PR"/>
        </w:rPr>
      </w:pPr>
    </w:p>
    <w:p w14:paraId="00F2329F" w14:textId="77777777" w:rsidR="009E236F" w:rsidRDefault="007F2372" w:rsidP="001A1EC4">
      <w:pPr>
        <w:ind w:left="720" w:hanging="36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La Cooperativa de Ahorro y Crédito </w:t>
      </w:r>
      <w:r w:rsidR="001A1EC4" w:rsidRPr="001A1EC4">
        <w:rPr>
          <w:rFonts w:asciiTheme="minorHAnsi" w:hAnsiTheme="minorHAnsi" w:cstheme="minorHAnsi"/>
          <w:sz w:val="18"/>
          <w:szCs w:val="18"/>
          <w:lang w:val="es-PR"/>
        </w:rPr>
        <w:t>Intermetro</w:t>
      </w:r>
      <w:r w:rsidR="006316A0" w:rsidRPr="001A1EC4">
        <w:rPr>
          <w:rFonts w:asciiTheme="minorHAnsi" w:hAnsiTheme="minorHAnsi" w:cstheme="minorHAnsi"/>
          <w:sz w:val="18"/>
          <w:szCs w:val="18"/>
          <w:lang w:val="es-PR"/>
        </w:rPr>
        <w:t xml:space="preserve"> </w:t>
      </w:r>
      <w:r w:rsidRPr="001A1EC4">
        <w:rPr>
          <w:rFonts w:asciiTheme="minorHAnsi" w:hAnsiTheme="minorHAnsi" w:cstheme="minorHAnsi"/>
          <w:sz w:val="18"/>
          <w:szCs w:val="18"/>
          <w:lang w:val="es-PR"/>
        </w:rPr>
        <w:t xml:space="preserve">se reserva el derecho de enmendar de tiempo en tiempo estas Divulgaciones </w:t>
      </w:r>
      <w:r w:rsidR="003A2B4B" w:rsidRPr="001A1EC4">
        <w:rPr>
          <w:rFonts w:asciiTheme="minorHAnsi" w:hAnsiTheme="minorHAnsi" w:cstheme="minorHAnsi"/>
          <w:sz w:val="18"/>
          <w:szCs w:val="18"/>
          <w:lang w:val="es-PR"/>
        </w:rPr>
        <w:t>y los</w:t>
      </w:r>
      <w:r w:rsidRPr="001A1EC4">
        <w:rPr>
          <w:rFonts w:asciiTheme="minorHAnsi" w:hAnsiTheme="minorHAnsi" w:cstheme="minorHAnsi"/>
          <w:sz w:val="18"/>
          <w:szCs w:val="18"/>
          <w:lang w:val="es-PR"/>
        </w:rPr>
        <w:t xml:space="preserve"> términos y </w:t>
      </w:r>
    </w:p>
    <w:p w14:paraId="6A1F69CE" w14:textId="703373E6" w:rsidR="0059311C" w:rsidRDefault="007F2372" w:rsidP="001A1EC4">
      <w:pPr>
        <w:ind w:left="720" w:hanging="360"/>
        <w:rPr>
          <w:rFonts w:asciiTheme="minorHAnsi" w:hAnsiTheme="minorHAnsi" w:cstheme="minorHAnsi"/>
          <w:sz w:val="18"/>
          <w:szCs w:val="18"/>
          <w:lang w:val="es-PR"/>
        </w:rPr>
      </w:pPr>
      <w:r w:rsidRPr="001A1EC4">
        <w:rPr>
          <w:rFonts w:asciiTheme="minorHAnsi" w:hAnsiTheme="minorHAnsi" w:cstheme="minorHAnsi"/>
          <w:sz w:val="18"/>
          <w:szCs w:val="18"/>
          <w:lang w:val="es-PR"/>
        </w:rPr>
        <w:t xml:space="preserve">condiciones de la cuenta. </w:t>
      </w:r>
    </w:p>
    <w:p w14:paraId="0BF9F32C" w14:textId="0EF2A02D" w:rsidR="001A1EC4" w:rsidRDefault="001A1EC4" w:rsidP="001A1EC4">
      <w:pPr>
        <w:ind w:left="720" w:hanging="360"/>
        <w:rPr>
          <w:rFonts w:asciiTheme="minorHAnsi" w:hAnsiTheme="minorHAnsi" w:cstheme="minorHAnsi"/>
          <w:sz w:val="18"/>
          <w:szCs w:val="18"/>
          <w:lang w:val="es-PR"/>
        </w:rPr>
      </w:pPr>
    </w:p>
    <w:p w14:paraId="3E259D03" w14:textId="54715CC8" w:rsidR="001A1EC4" w:rsidRDefault="001A1EC4" w:rsidP="001A1EC4">
      <w:pPr>
        <w:ind w:left="720" w:hanging="360"/>
        <w:rPr>
          <w:rFonts w:asciiTheme="minorHAnsi" w:hAnsiTheme="minorHAnsi" w:cstheme="minorHAnsi"/>
          <w:sz w:val="18"/>
          <w:szCs w:val="18"/>
          <w:lang w:val="es-PR"/>
        </w:rPr>
      </w:pPr>
    </w:p>
    <w:p w14:paraId="1C014218" w14:textId="77777777" w:rsidR="001A1EC4" w:rsidRDefault="001A1EC4" w:rsidP="001A1EC4">
      <w:pPr>
        <w:ind w:left="720" w:hanging="360"/>
        <w:rPr>
          <w:rFonts w:asciiTheme="minorHAnsi" w:hAnsiTheme="minorHAnsi" w:cstheme="minorHAnsi"/>
          <w:sz w:val="18"/>
          <w:szCs w:val="18"/>
          <w:lang w:val="es-PR"/>
        </w:rPr>
      </w:pPr>
    </w:p>
    <w:p w14:paraId="4DC1C187" w14:textId="75918BF0" w:rsidR="001A1EC4" w:rsidRPr="009E236F" w:rsidRDefault="001A1EC4" w:rsidP="001A1EC4">
      <w:pPr>
        <w:spacing w:after="0" w:line="240" w:lineRule="auto"/>
        <w:ind w:left="0" w:right="29" w:firstLine="360"/>
        <w:rPr>
          <w:rFonts w:ascii="Century Gothic" w:eastAsia="Century Gothic" w:hAnsi="Century Gothic" w:cs="Century Gothic"/>
          <w:b/>
          <w:sz w:val="16"/>
          <w:lang w:val="es-PR"/>
        </w:rPr>
      </w:pP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Pr>
          <w:rFonts w:ascii="Century Gothic" w:eastAsia="Century Gothic" w:hAnsi="Century Gothic" w:cs="Century Gothic"/>
          <w:sz w:val="16"/>
          <w:lang w:val="es-PR"/>
        </w:rPr>
        <w:tab/>
      </w:r>
      <w:r w:rsidR="009E236F">
        <w:rPr>
          <w:rFonts w:ascii="Century Gothic" w:eastAsia="Century Gothic" w:hAnsi="Century Gothic" w:cs="Century Gothic"/>
          <w:sz w:val="16"/>
          <w:lang w:val="es-PR"/>
        </w:rPr>
        <w:tab/>
      </w:r>
      <w:r w:rsidR="009E236F">
        <w:rPr>
          <w:rFonts w:ascii="Century Gothic" w:eastAsia="Century Gothic" w:hAnsi="Century Gothic" w:cs="Century Gothic"/>
          <w:sz w:val="16"/>
          <w:lang w:val="es-PR"/>
        </w:rPr>
        <w:tab/>
      </w:r>
      <w:r w:rsidR="009E236F" w:rsidRPr="009E236F">
        <w:rPr>
          <w:rFonts w:ascii="Century Gothic" w:eastAsia="Century Gothic" w:hAnsi="Century Gothic" w:cs="Century Gothic"/>
          <w:b/>
          <w:sz w:val="16"/>
          <w:lang w:val="es-PR"/>
        </w:rPr>
        <w:t xml:space="preserve">Rev. </w:t>
      </w:r>
      <w:r w:rsidR="009140BF">
        <w:rPr>
          <w:rFonts w:ascii="Century Gothic" w:eastAsia="Century Gothic" w:hAnsi="Century Gothic" w:cs="Century Gothic"/>
          <w:b/>
          <w:sz w:val="16"/>
          <w:lang w:val="es-PR"/>
        </w:rPr>
        <w:t>4</w:t>
      </w:r>
      <w:r w:rsidR="009E236F" w:rsidRPr="009E236F">
        <w:rPr>
          <w:rFonts w:ascii="Century Gothic" w:eastAsia="Century Gothic" w:hAnsi="Century Gothic" w:cs="Century Gothic"/>
          <w:b/>
          <w:sz w:val="16"/>
          <w:lang w:val="es-PR"/>
        </w:rPr>
        <w:t>/21</w:t>
      </w:r>
    </w:p>
    <w:p w14:paraId="7B3B40FE" w14:textId="77777777" w:rsidR="001A1EC4" w:rsidRPr="001A1EC4" w:rsidRDefault="001A1EC4" w:rsidP="001A1EC4">
      <w:pPr>
        <w:spacing w:after="0" w:line="240" w:lineRule="auto"/>
        <w:ind w:left="0" w:right="29" w:firstLine="360"/>
        <w:rPr>
          <w:rFonts w:ascii="Century Gothic" w:eastAsia="Century Gothic" w:hAnsi="Century Gothic" w:cs="Century Gothic"/>
          <w:sz w:val="16"/>
          <w:lang w:val="es-PR"/>
        </w:rPr>
      </w:pPr>
    </w:p>
    <w:p w14:paraId="46E6FA79" w14:textId="77777777" w:rsidR="001A1EC4" w:rsidRPr="001A1EC4" w:rsidRDefault="001A1EC4" w:rsidP="001A1EC4">
      <w:pPr>
        <w:ind w:left="720" w:hanging="360"/>
        <w:rPr>
          <w:rFonts w:asciiTheme="minorHAnsi" w:hAnsiTheme="minorHAnsi" w:cstheme="minorHAnsi"/>
          <w:sz w:val="18"/>
          <w:szCs w:val="18"/>
          <w:lang w:val="es-PR"/>
        </w:rPr>
      </w:pPr>
    </w:p>
    <w:sectPr w:rsidR="001A1EC4" w:rsidRPr="001A1EC4" w:rsidSect="001A1EC4">
      <w:headerReference w:type="default" r:id="rId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4FADE" w14:textId="77777777" w:rsidR="00F476B1" w:rsidRDefault="00F476B1" w:rsidP="007F2372">
      <w:pPr>
        <w:spacing w:after="0" w:line="240" w:lineRule="auto"/>
      </w:pPr>
      <w:r>
        <w:separator/>
      </w:r>
    </w:p>
  </w:endnote>
  <w:endnote w:type="continuationSeparator" w:id="0">
    <w:p w14:paraId="406021AA" w14:textId="77777777" w:rsidR="00F476B1" w:rsidRDefault="00F476B1" w:rsidP="007F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A1AF" w14:textId="77777777" w:rsidR="00F476B1" w:rsidRDefault="00F476B1" w:rsidP="007F2372">
      <w:pPr>
        <w:spacing w:after="0" w:line="240" w:lineRule="auto"/>
      </w:pPr>
      <w:r>
        <w:separator/>
      </w:r>
    </w:p>
  </w:footnote>
  <w:footnote w:type="continuationSeparator" w:id="0">
    <w:p w14:paraId="57FDF18E" w14:textId="77777777" w:rsidR="00F476B1" w:rsidRDefault="00F476B1" w:rsidP="007F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A53A" w14:textId="77777777" w:rsidR="001A1EC4" w:rsidRPr="009E236F" w:rsidRDefault="001A1EC4" w:rsidP="001A1EC4">
    <w:pPr>
      <w:pStyle w:val="NoSpacing"/>
      <w:jc w:val="center"/>
      <w:rPr>
        <w:rFonts w:asciiTheme="minorHAnsi" w:hAnsiTheme="minorHAnsi" w:cstheme="minorHAnsi"/>
        <w:b/>
        <w:sz w:val="28"/>
        <w:szCs w:val="28"/>
        <w:lang w:val="es-PR"/>
      </w:rPr>
    </w:pPr>
    <w:r w:rsidRPr="009E236F">
      <w:rPr>
        <w:rFonts w:asciiTheme="minorHAnsi" w:eastAsia="Calibri" w:hAnsiTheme="minorHAnsi" w:cstheme="minorHAnsi"/>
        <w:b/>
        <w:sz w:val="28"/>
        <w:szCs w:val="28"/>
        <w:lang w:val="es-PR"/>
      </w:rPr>
      <w:t>COOPERATIVA DE AHORRO Y CREDITO INTERMETRO</w:t>
    </w:r>
  </w:p>
  <w:p w14:paraId="1D75A244" w14:textId="326EC2A6" w:rsidR="001A1EC4" w:rsidRPr="009E236F" w:rsidRDefault="001A1EC4" w:rsidP="001A1EC4">
    <w:pPr>
      <w:pStyle w:val="NoSpacing"/>
      <w:jc w:val="center"/>
      <w:rPr>
        <w:rFonts w:asciiTheme="minorHAnsi" w:eastAsia="Calibri" w:hAnsiTheme="minorHAnsi" w:cstheme="minorHAnsi"/>
        <w:b/>
        <w:sz w:val="28"/>
        <w:szCs w:val="28"/>
        <w:lang w:val="es-PR"/>
      </w:rPr>
    </w:pPr>
    <w:r w:rsidRPr="009E236F">
      <w:rPr>
        <w:rFonts w:asciiTheme="minorHAnsi" w:eastAsia="Calibri" w:hAnsiTheme="minorHAnsi" w:cstheme="minorHAnsi"/>
        <w:b/>
        <w:sz w:val="28"/>
        <w:szCs w:val="28"/>
        <w:lang w:val="es-PR"/>
      </w:rPr>
      <w:t>Divulgación sobre Cantidades no Reclamadas</w:t>
    </w:r>
  </w:p>
  <w:p w14:paraId="5E2E253B" w14:textId="77777777" w:rsidR="001A1EC4" w:rsidRDefault="001A1EC4" w:rsidP="001A1EC4">
    <w:pPr>
      <w:pStyle w:val="NoSpacing"/>
      <w:jc w:val="center"/>
      <w:rPr>
        <w:rFonts w:asciiTheme="minorHAnsi" w:eastAsia="Calibri" w:hAnsiTheme="minorHAnsi" w:cstheme="minorHAnsi"/>
        <w:b/>
        <w:sz w:val="24"/>
        <w:szCs w:val="24"/>
        <w:lang w:val="es-P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11C"/>
    <w:rsid w:val="001A1EC4"/>
    <w:rsid w:val="003A2B4B"/>
    <w:rsid w:val="003E0050"/>
    <w:rsid w:val="00474345"/>
    <w:rsid w:val="00550940"/>
    <w:rsid w:val="0059311C"/>
    <w:rsid w:val="005D6ACD"/>
    <w:rsid w:val="006316A0"/>
    <w:rsid w:val="006B0B82"/>
    <w:rsid w:val="006B734A"/>
    <w:rsid w:val="007516A6"/>
    <w:rsid w:val="0077602D"/>
    <w:rsid w:val="007F2372"/>
    <w:rsid w:val="008B505C"/>
    <w:rsid w:val="009140BF"/>
    <w:rsid w:val="009C6015"/>
    <w:rsid w:val="009E236F"/>
    <w:rsid w:val="00BA39F8"/>
    <w:rsid w:val="00C868FF"/>
    <w:rsid w:val="00E05725"/>
    <w:rsid w:val="00F41905"/>
    <w:rsid w:val="00F476B1"/>
    <w:rsid w:val="00F8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6A17"/>
  <w15:docId w15:val="{CEA71BB3-0997-4BB7-BBC9-F0AC5F9A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372"/>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7F2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372"/>
    <w:rPr>
      <w:rFonts w:ascii="Times New Roman" w:eastAsia="Times New Roman" w:hAnsi="Times New Roman" w:cs="Times New Roman"/>
      <w:color w:val="000000"/>
      <w:sz w:val="20"/>
    </w:rPr>
  </w:style>
  <w:style w:type="paragraph" w:styleId="NoSpacing">
    <w:name w:val="No Spacing"/>
    <w:uiPriority w:val="1"/>
    <w:qFormat/>
    <w:rsid w:val="007F2372"/>
    <w:pPr>
      <w:spacing w:after="0" w:line="240" w:lineRule="auto"/>
      <w:ind w:left="10" w:hanging="10"/>
      <w:jc w:val="both"/>
    </w:pPr>
    <w:rPr>
      <w:rFonts w:ascii="Times New Roman" w:eastAsia="Times New Roman" w:hAnsi="Times New Roman" w:cs="Times New Roman"/>
      <w:color w:val="000000"/>
      <w:sz w:val="20"/>
    </w:rPr>
  </w:style>
  <w:style w:type="paragraph" w:styleId="EndnoteText">
    <w:name w:val="endnote text"/>
    <w:basedOn w:val="Normal"/>
    <w:link w:val="EndnoteTextChar"/>
    <w:uiPriority w:val="99"/>
    <w:semiHidden/>
    <w:unhideWhenUsed/>
    <w:rsid w:val="003A2B4B"/>
    <w:pPr>
      <w:spacing w:after="0" w:line="240" w:lineRule="auto"/>
    </w:pPr>
    <w:rPr>
      <w:szCs w:val="20"/>
    </w:rPr>
  </w:style>
  <w:style w:type="character" w:customStyle="1" w:styleId="EndnoteTextChar">
    <w:name w:val="Endnote Text Char"/>
    <w:basedOn w:val="DefaultParagraphFont"/>
    <w:link w:val="EndnoteText"/>
    <w:uiPriority w:val="99"/>
    <w:semiHidden/>
    <w:rsid w:val="003A2B4B"/>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3A2B4B"/>
    <w:rPr>
      <w:vertAlign w:val="superscript"/>
    </w:rPr>
  </w:style>
  <w:style w:type="paragraph" w:styleId="FootnoteText">
    <w:name w:val="footnote text"/>
    <w:basedOn w:val="Normal"/>
    <w:link w:val="FootnoteTextChar"/>
    <w:uiPriority w:val="99"/>
    <w:semiHidden/>
    <w:unhideWhenUsed/>
    <w:rsid w:val="003A2B4B"/>
    <w:pPr>
      <w:spacing w:after="0" w:line="240" w:lineRule="auto"/>
    </w:pPr>
    <w:rPr>
      <w:szCs w:val="20"/>
    </w:rPr>
  </w:style>
  <w:style w:type="character" w:customStyle="1" w:styleId="FootnoteTextChar">
    <w:name w:val="Footnote Text Char"/>
    <w:basedOn w:val="DefaultParagraphFont"/>
    <w:link w:val="FootnoteText"/>
    <w:uiPriority w:val="99"/>
    <w:semiHidden/>
    <w:rsid w:val="003A2B4B"/>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3A2B4B"/>
    <w:rPr>
      <w:vertAlign w:val="superscript"/>
    </w:rPr>
  </w:style>
  <w:style w:type="paragraph" w:styleId="BalloonText">
    <w:name w:val="Balloon Text"/>
    <w:basedOn w:val="Normal"/>
    <w:link w:val="BalloonTextChar"/>
    <w:uiPriority w:val="99"/>
    <w:semiHidden/>
    <w:unhideWhenUsed/>
    <w:rsid w:val="005D6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AC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F0946-FD9B-4D73-B698-1ED64FED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L. Hernández</dc:creator>
  <cp:keywords/>
  <cp:lastModifiedBy>Mary J. Torruellas Flores</cp:lastModifiedBy>
  <cp:revision>2</cp:revision>
  <cp:lastPrinted>2024-01-26T19:40:00Z</cp:lastPrinted>
  <dcterms:created xsi:type="dcterms:W3CDTF">2024-01-26T19:40:00Z</dcterms:created>
  <dcterms:modified xsi:type="dcterms:W3CDTF">2024-01-26T19:40:00Z</dcterms:modified>
</cp:coreProperties>
</file>